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FİZİKİ ETKİNLİK KATILIMCI AÇIK RIZA BEYAN FORMU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ind w:right="-93.54330708661337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İşbu form, 6698 Sayılı Kişisel Verilerin  Korunması Kanunu’nun 10.maddesinde düzenlenen Veri sorumlusunun aydınlatma yükümlülüğü hükümleri kapsamında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veri sorumlusu sıfatıyla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Konya Teknik Üniversitesi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tarafından Tarafınıza sunulan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Aydınlatma Metninin ardından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Kişisel Verilerinizin aktarılması ile ilgili açık rıza tercihlerinizi almak için sunulmaktadır.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‘’Lütfen açık rıza metninde belirtilen hususlara açık rıza veriyorsanız yeşil rozeti tercih ediniz.’’ 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Salonda yeşil alanda bulunan ve yeşil rozet takan katılımcıların fotoğrafı çekilmekte, video kaydı yapılmakta bu yollarla veriler işlenmekte ve ilgili basılı/görsel yayın organlarında ve sosyal medyada canlı yayın veya fotoğraf/video şeklinde “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Herkese Açık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” olarak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açık rızanıza 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istinaden paylaşılmaktadır.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