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2C" w:rsidRDefault="001E4E2C"/>
    <w:tbl>
      <w:tblPr>
        <w:tblStyle w:val="a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5"/>
        <w:gridCol w:w="6946"/>
      </w:tblGrid>
      <w:tr w:rsidR="001E4E2C">
        <w:trPr>
          <w:trHeight w:val="67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4E2C" w:rsidRDefault="00705E2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05E2F">
              <w:rPr>
                <w:rFonts w:ascii="Arial" w:eastAsia="Arial" w:hAnsi="Arial" w:cs="Arial"/>
                <w:sz w:val="20"/>
                <w:szCs w:val="20"/>
              </w:rPr>
              <w:t>Acil ve Kriz Durumlarında Başvuru ve Yönlendirme Süreci</w:t>
            </w:r>
          </w:p>
        </w:tc>
      </w:tr>
      <w:tr w:rsidR="001E4E2C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Psikolojik Danışma ve Rehberlik Uygulama ve Araştırma Merkezi</w:t>
            </w:r>
          </w:p>
        </w:tc>
      </w:tr>
      <w:tr w:rsidR="001E4E2C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0337D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337DC">
              <w:rPr>
                <w:rFonts w:ascii="Arial" w:eastAsia="Arial" w:hAnsi="Arial" w:cs="Arial"/>
                <w:sz w:val="20"/>
                <w:szCs w:val="20"/>
              </w:rPr>
              <w:t xml:space="preserve">Psikolojik Danışma ve Rehberlik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Uygulama ve Araştırma </w:t>
            </w:r>
            <w:r w:rsidRPr="000337DC">
              <w:rPr>
                <w:rFonts w:ascii="Arial" w:eastAsia="Arial" w:hAnsi="Arial" w:cs="Arial"/>
                <w:sz w:val="20"/>
                <w:szCs w:val="20"/>
              </w:rPr>
              <w:t xml:space="preserve">Merkezine yapılan acil başvurularda, danışanın kendisi veya başkaları için risk oluşturabilecek durumları erken biçimde saptamak, danışanın yaşam güvenliğini </w:t>
            </w:r>
            <w:proofErr w:type="spellStart"/>
            <w:r w:rsidRPr="000337DC">
              <w:rPr>
                <w:rFonts w:ascii="Arial" w:eastAsia="Arial" w:hAnsi="Arial" w:cs="Arial"/>
                <w:sz w:val="20"/>
                <w:szCs w:val="20"/>
              </w:rPr>
              <w:t>önceliklendirmek</w:t>
            </w:r>
            <w:proofErr w:type="spellEnd"/>
            <w:r w:rsidRPr="000337DC">
              <w:rPr>
                <w:rFonts w:ascii="Arial" w:eastAsia="Arial" w:hAnsi="Arial" w:cs="Arial"/>
                <w:sz w:val="20"/>
                <w:szCs w:val="20"/>
              </w:rPr>
              <w:t xml:space="preserve"> ve risk düzeyine uygun biçimde yönlendirme ve takip süreçlerini standartlaştırmaktır.</w:t>
            </w:r>
            <w:r w:rsidR="001E66B9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  <w:tr w:rsidR="001E4E2C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4- İlgili Mevzuat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Konya Teknik Üniversitesi Psikolojik Danışma ve Rehberlik Uygulama ve Araştırma Merkezi Yönetmeliği</w:t>
            </w:r>
          </w:p>
          <w:p w:rsidR="001E4E2C" w:rsidRDefault="001E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E4E2C" w:rsidRDefault="001E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E4E2C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7DC" w:rsidRPr="0042429F" w:rsidRDefault="0042429F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0337DC" w:rsidRPr="000337DC">
              <w:rPr>
                <w:rFonts w:ascii="Arial" w:eastAsia="Arial" w:hAnsi="Arial" w:cs="Arial"/>
                <w:sz w:val="20"/>
                <w:szCs w:val="20"/>
              </w:rPr>
              <w:t>ısa sürede ve sınırlı bilgiyle değerlendirilmesi nedeniyle yanlış veya eksik risk saptaması yapılması riski,</w:t>
            </w:r>
            <w:r w:rsidR="000337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05E2F">
              <w:t>k</w:t>
            </w:r>
            <w:r w:rsidR="000337DC" w:rsidRPr="000337DC">
              <w:t>urum içi veya kurum dışı birimlerle koordinasyonun gecikmesi nedeniyle yönlend</w:t>
            </w:r>
            <w:r>
              <w:t>irme sürecinde aksama yaşanması</w:t>
            </w:r>
            <w:r w:rsidR="00705E2F">
              <w:t xml:space="preserve"> </w:t>
            </w:r>
            <w:r>
              <w:t>/</w:t>
            </w:r>
            <w:r w:rsidR="00705E2F">
              <w:t xml:space="preserve"> </w:t>
            </w:r>
            <w:r w:rsidR="000337DC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0337DC" w:rsidRPr="000337DC">
              <w:rPr>
                <w:rFonts w:ascii="Arial" w:eastAsia="Arial" w:hAnsi="Arial" w:cs="Arial"/>
                <w:sz w:val="20"/>
                <w:szCs w:val="20"/>
              </w:rPr>
              <w:t>anışan güvenliğinin etkin biçimde sağlanması,</w:t>
            </w:r>
            <w:r w:rsidR="000337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05E2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0337DC" w:rsidRPr="000337DC">
              <w:rPr>
                <w:rFonts w:ascii="Arial" w:eastAsia="Arial" w:hAnsi="Arial" w:cs="Arial"/>
                <w:sz w:val="20"/>
                <w:szCs w:val="20"/>
              </w:rPr>
              <w:t xml:space="preserve">rken risk saptaması ile </w:t>
            </w:r>
            <w:r w:rsidR="000337DC">
              <w:rPr>
                <w:rFonts w:ascii="Arial" w:eastAsia="Arial" w:hAnsi="Arial" w:cs="Arial"/>
                <w:sz w:val="20"/>
                <w:szCs w:val="20"/>
              </w:rPr>
              <w:t>olası ağır sonuçların önlenmesi.</w:t>
            </w:r>
          </w:p>
        </w:tc>
      </w:tr>
      <w:tr w:rsidR="001E4E2C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6- Süreç Girdileri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DA4A41" w:rsidP="00DA4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Akademik ve İdari Personel Yönlendirmesi, Öğrenci Başvuru Formu</w:t>
            </w:r>
            <w:r w:rsidRPr="00DA4A41">
              <w:rPr>
                <w:rFonts w:ascii="Arial" w:eastAsia="Arial" w:hAnsi="Arial" w:cs="Arial"/>
                <w:sz w:val="20"/>
                <w:szCs w:val="20"/>
              </w:rPr>
              <w:t>, Ö</w:t>
            </w:r>
            <w:r>
              <w:rPr>
                <w:rFonts w:ascii="Arial" w:eastAsia="Arial" w:hAnsi="Arial" w:cs="Arial"/>
                <w:sz w:val="20"/>
                <w:szCs w:val="20"/>
              </w:rPr>
              <w:t>ğrenci Danışan Açık Rıza Metni</w:t>
            </w:r>
            <w:r w:rsidRPr="00DA4A41">
              <w:rPr>
                <w:rFonts w:ascii="Arial" w:eastAsia="Arial" w:hAnsi="Arial" w:cs="Arial"/>
                <w:sz w:val="20"/>
                <w:szCs w:val="20"/>
              </w:rPr>
              <w:t>, Öğ</w:t>
            </w:r>
            <w:r>
              <w:rPr>
                <w:rFonts w:ascii="Arial" w:eastAsia="Arial" w:hAnsi="Arial" w:cs="Arial"/>
                <w:sz w:val="20"/>
                <w:szCs w:val="20"/>
              </w:rPr>
              <w:t>renci Danışan Aydınlatma Metni</w:t>
            </w:r>
          </w:p>
        </w:tc>
      </w:tr>
    </w:tbl>
    <w:p w:rsidR="001E4E2C" w:rsidRDefault="001E4E2C"/>
    <w:tbl>
      <w:tblPr>
        <w:tblStyle w:val="a0"/>
        <w:tblW w:w="9356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2268"/>
        <w:gridCol w:w="4962"/>
        <w:gridCol w:w="2126"/>
      </w:tblGrid>
      <w:tr w:rsidR="001E4E2C">
        <w:trPr>
          <w:trHeight w:val="5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E2C" w:rsidRDefault="001E66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heading=h.4ix26jblq7xp" w:colFirst="0" w:colLast="0"/>
            <w:bookmarkEnd w:id="0"/>
            <w:r>
              <w:rPr>
                <w:b/>
                <w:color w:val="000000"/>
                <w:sz w:val="24"/>
                <w:szCs w:val="24"/>
              </w:rPr>
              <w:t>7- Süreç Sorumlusu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E2C" w:rsidRDefault="001E66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8- İş Akış Şeması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E2C" w:rsidRDefault="001E66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 Süreç Çıktıları</w:t>
            </w:r>
          </w:p>
        </w:tc>
      </w:tr>
    </w:tbl>
    <w:p w:rsidR="001E4E2C" w:rsidRDefault="00042DCA">
      <w:bookmarkStart w:id="1" w:name="_GoBack"/>
      <w:bookmarkEnd w:id="1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75.75pt;height:541.5pt">
            <v:imagedata r:id="rId8" o:title="acil ve kriz durumları iş akış şeması.drawio"/>
          </v:shape>
        </w:pict>
      </w:r>
    </w:p>
    <w:tbl>
      <w:tblPr>
        <w:tblStyle w:val="a1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60"/>
        <w:gridCol w:w="2310"/>
        <w:gridCol w:w="4881"/>
      </w:tblGrid>
      <w:tr w:rsidR="001E4E2C">
        <w:trPr>
          <w:trHeight w:val="211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10- SÜREÇ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ÖLÇME KRİTERLERİ</w:t>
            </w:r>
          </w:p>
        </w:tc>
        <w:tc>
          <w:tcPr>
            <w:tcW w:w="7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705E2F" w:rsidP="000337D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>Acil / Kriz Durumu Risk Değerlendirme Formu</w:t>
            </w:r>
          </w:p>
        </w:tc>
      </w:tr>
      <w:tr w:rsidR="001E4E2C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11- SÜREÇ PERİYODU</w:t>
            </w:r>
          </w:p>
        </w:tc>
        <w:tc>
          <w:tcPr>
            <w:tcW w:w="7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0022B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>Sürekli / İhtiyaç halinde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1E4E2C" w:rsidRDefault="001E4E2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4E2C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Dokümanı Hazırlayan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="00B8710B">
              <w:rPr>
                <w:rFonts w:ascii="Arial" w:eastAsia="Arial" w:hAnsi="Arial" w:cs="Arial"/>
                <w:b/>
                <w:sz w:val="20"/>
                <w:szCs w:val="20"/>
              </w:rPr>
              <w:t>Birim Kalite Temsilcisi</w:t>
            </w:r>
          </w:p>
        </w:tc>
        <w:tc>
          <w:tcPr>
            <w:tcW w:w="4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Dokümanı Onaylayan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="002D3C7F">
              <w:rPr>
                <w:rFonts w:ascii="Arial" w:eastAsia="Arial" w:hAnsi="Arial" w:cs="Arial"/>
                <w:b/>
                <w:sz w:val="20"/>
                <w:szCs w:val="20"/>
              </w:rPr>
              <w:t>Merkez Müdürü</w:t>
            </w:r>
          </w:p>
          <w:p w:rsidR="001E4E2C" w:rsidRDefault="001E4E2C" w:rsidP="00B8710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1E4E2C" w:rsidRDefault="001E4E2C">
      <w:pPr>
        <w:tabs>
          <w:tab w:val="left" w:pos="994"/>
        </w:tabs>
      </w:pPr>
    </w:p>
    <w:sectPr w:rsidR="001E4E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418" w:left="1418" w:header="851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3C5" w:rsidRDefault="002C73C5">
      <w:pPr>
        <w:spacing w:after="0" w:line="240" w:lineRule="auto"/>
      </w:pPr>
      <w:r>
        <w:separator/>
      </w:r>
    </w:p>
  </w:endnote>
  <w:endnote w:type="continuationSeparator" w:id="0">
    <w:p w:rsidR="002C73C5" w:rsidRDefault="002C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2C" w:rsidRDefault="001E4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2C" w:rsidRDefault="001E4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2C" w:rsidRDefault="001E4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3C5" w:rsidRDefault="002C73C5">
      <w:pPr>
        <w:spacing w:after="0" w:line="240" w:lineRule="auto"/>
      </w:pPr>
      <w:r>
        <w:separator/>
      </w:r>
    </w:p>
  </w:footnote>
  <w:footnote w:type="continuationSeparator" w:id="0">
    <w:p w:rsidR="002C73C5" w:rsidRDefault="002C7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2C" w:rsidRDefault="001E4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2C" w:rsidRDefault="001E4E2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949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716"/>
      <w:gridCol w:w="4493"/>
      <w:gridCol w:w="1559"/>
      <w:gridCol w:w="1730"/>
    </w:tblGrid>
    <w:tr w:rsidR="001E4E2C">
      <w:trPr>
        <w:trHeight w:val="288"/>
      </w:trPr>
      <w:tc>
        <w:tcPr>
          <w:tcW w:w="1716" w:type="dxa"/>
          <w:vMerge w:val="restart"/>
        </w:tcPr>
        <w:p w:rsidR="001E4E2C" w:rsidRDefault="001E66B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val="tr-TR"/>
            </w:rPr>
            <w:drawing>
              <wp:inline distT="0" distB="0" distL="0" distR="0">
                <wp:extent cx="952500" cy="929640"/>
                <wp:effectExtent l="0" t="0" r="0" b="0"/>
                <wp:docPr id="248348476" name="image1.jpg" descr="Kare-logo70 - Cop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Kare-logo70 - Cop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vAlign w:val="center"/>
        </w:tcPr>
        <w:p w:rsidR="001E4E2C" w:rsidRDefault="001E66B9">
          <w:pP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T.C.</w:t>
          </w:r>
        </w:p>
        <w:p w:rsidR="001E4E2C" w:rsidRDefault="001E66B9">
          <w:pPr>
            <w:spacing w:line="259" w:lineRule="auto"/>
            <w:jc w:val="center"/>
            <w:rPr>
              <w:rFonts w:ascii="Arial" w:eastAsia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KONYA TEKNİK ÜNİVERSİTESİ</w:t>
          </w:r>
          <w:r>
            <w:rPr>
              <w:rFonts w:ascii="Arial" w:eastAsia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:rsidR="001E4E2C" w:rsidRDefault="001E66B9">
          <w:pPr>
            <w:spacing w:line="259" w:lineRule="auto"/>
            <w:jc w:val="center"/>
            <w:rPr>
              <w:rFonts w:ascii="Arial" w:eastAsia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FF0000"/>
              <w:sz w:val="20"/>
              <w:szCs w:val="20"/>
            </w:rPr>
            <w:t>PSİKOLOJİK DANIŞMA VE REHBERLİK MERKEZİ</w:t>
          </w:r>
        </w:p>
        <w:p w:rsidR="001E4E2C" w:rsidRDefault="001E66B9">
          <w:pPr>
            <w:jc w:val="center"/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:rsidR="001E4E2C" w:rsidRDefault="001E66B9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Doküman No</w:t>
          </w:r>
        </w:p>
      </w:tc>
      <w:tc>
        <w:tcPr>
          <w:tcW w:w="1730" w:type="dxa"/>
          <w:vAlign w:val="center"/>
        </w:tcPr>
        <w:p w:rsidR="001E4E2C" w:rsidRDefault="001E66B9">
          <w:pP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PDRM-İA-1.43.0</w:t>
          </w:r>
        </w:p>
        <w:p w:rsidR="001E4E2C" w:rsidRDefault="001E66B9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0</w:t>
          </w:r>
          <w:r w:rsidR="000022B5">
            <w:rPr>
              <w:rFonts w:ascii="Arial" w:eastAsia="Arial" w:hAnsi="Arial" w:cs="Arial"/>
              <w:sz w:val="20"/>
              <w:szCs w:val="20"/>
            </w:rPr>
            <w:t>4</w:t>
          </w:r>
        </w:p>
      </w:tc>
    </w:tr>
    <w:tr w:rsidR="001E4E2C">
      <w:trPr>
        <w:trHeight w:val="288"/>
      </w:trPr>
      <w:tc>
        <w:tcPr>
          <w:tcW w:w="1716" w:type="dxa"/>
          <w:vMerge/>
        </w:tcPr>
        <w:p w:rsidR="001E4E2C" w:rsidRDefault="001E4E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493" w:type="dxa"/>
          <w:vMerge/>
          <w:vAlign w:val="center"/>
        </w:tcPr>
        <w:p w:rsidR="001E4E2C" w:rsidRDefault="001E4E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:rsidR="001E4E2C" w:rsidRDefault="001E66B9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İlk Yayın Tarihi</w:t>
          </w:r>
        </w:p>
      </w:tc>
      <w:tc>
        <w:tcPr>
          <w:tcW w:w="1730" w:type="dxa"/>
          <w:vAlign w:val="center"/>
        </w:tcPr>
        <w:p w:rsidR="001E4E2C" w:rsidRDefault="000022B5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05.12</w:t>
          </w:r>
          <w:r w:rsidR="001E66B9">
            <w:rPr>
              <w:rFonts w:ascii="Arial" w:eastAsia="Arial" w:hAnsi="Arial" w:cs="Arial"/>
              <w:sz w:val="20"/>
              <w:szCs w:val="20"/>
            </w:rPr>
            <w:t>.2025</w:t>
          </w:r>
        </w:p>
      </w:tc>
    </w:tr>
    <w:tr w:rsidR="001E4E2C">
      <w:trPr>
        <w:trHeight w:val="288"/>
      </w:trPr>
      <w:tc>
        <w:tcPr>
          <w:tcW w:w="1716" w:type="dxa"/>
          <w:vMerge/>
        </w:tcPr>
        <w:p w:rsidR="001E4E2C" w:rsidRDefault="001E4E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493" w:type="dxa"/>
          <w:vMerge/>
          <w:vAlign w:val="center"/>
        </w:tcPr>
        <w:p w:rsidR="001E4E2C" w:rsidRDefault="001E4E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:rsidR="001E4E2C" w:rsidRDefault="001E66B9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Revizyon No</w:t>
          </w:r>
        </w:p>
      </w:tc>
      <w:tc>
        <w:tcPr>
          <w:tcW w:w="1730" w:type="dxa"/>
          <w:vAlign w:val="center"/>
        </w:tcPr>
        <w:p w:rsidR="001E4E2C" w:rsidRDefault="001E66B9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</w:t>
          </w:r>
        </w:p>
      </w:tc>
    </w:tr>
    <w:tr w:rsidR="001E4E2C">
      <w:trPr>
        <w:trHeight w:val="288"/>
      </w:trPr>
      <w:tc>
        <w:tcPr>
          <w:tcW w:w="1716" w:type="dxa"/>
          <w:vMerge/>
        </w:tcPr>
        <w:p w:rsidR="001E4E2C" w:rsidRDefault="001E4E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493" w:type="dxa"/>
          <w:vMerge/>
          <w:vAlign w:val="center"/>
        </w:tcPr>
        <w:p w:rsidR="001E4E2C" w:rsidRDefault="001E4E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:rsidR="001E4E2C" w:rsidRDefault="001E66B9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Revizyon Tarihi</w:t>
          </w:r>
        </w:p>
      </w:tc>
      <w:tc>
        <w:tcPr>
          <w:tcW w:w="1730" w:type="dxa"/>
          <w:vAlign w:val="center"/>
        </w:tcPr>
        <w:p w:rsidR="001E4E2C" w:rsidRDefault="001E4E2C">
          <w:pPr>
            <w:rPr>
              <w:rFonts w:ascii="Arial" w:eastAsia="Arial" w:hAnsi="Arial" w:cs="Arial"/>
              <w:sz w:val="20"/>
              <w:szCs w:val="20"/>
            </w:rPr>
          </w:pPr>
        </w:p>
      </w:tc>
    </w:tr>
    <w:tr w:rsidR="001E4E2C">
      <w:trPr>
        <w:trHeight w:val="288"/>
      </w:trPr>
      <w:tc>
        <w:tcPr>
          <w:tcW w:w="1716" w:type="dxa"/>
          <w:vMerge/>
        </w:tcPr>
        <w:p w:rsidR="001E4E2C" w:rsidRDefault="001E4E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493" w:type="dxa"/>
          <w:vMerge/>
          <w:vAlign w:val="center"/>
        </w:tcPr>
        <w:p w:rsidR="001E4E2C" w:rsidRDefault="001E4E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289" w:type="dxa"/>
          <w:gridSpan w:val="2"/>
          <w:vAlign w:val="center"/>
        </w:tcPr>
        <w:p w:rsidR="001E4E2C" w:rsidRDefault="001E66B9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Sayfa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042DCA">
            <w:rPr>
              <w:rFonts w:ascii="Arial" w:eastAsia="Arial" w:hAnsi="Arial" w:cs="Arial"/>
              <w:b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 xml:space="preserve"> /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042DCA">
            <w:rPr>
              <w:rFonts w:ascii="Arial" w:eastAsia="Arial" w:hAnsi="Arial" w:cs="Arial"/>
              <w:b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1E4E2C" w:rsidRDefault="001E4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2C" w:rsidRDefault="001E4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45524"/>
    <w:multiLevelType w:val="multilevel"/>
    <w:tmpl w:val="086A4ED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2C"/>
    <w:rsid w:val="000022B5"/>
    <w:rsid w:val="000337DC"/>
    <w:rsid w:val="00042DCA"/>
    <w:rsid w:val="001E4E2C"/>
    <w:rsid w:val="001E66B9"/>
    <w:rsid w:val="002C73C5"/>
    <w:rsid w:val="002D3C7F"/>
    <w:rsid w:val="0042429F"/>
    <w:rsid w:val="00490FFE"/>
    <w:rsid w:val="00705E2F"/>
    <w:rsid w:val="00B8710B"/>
    <w:rsid w:val="00C359E6"/>
    <w:rsid w:val="00DA4A41"/>
    <w:rsid w:val="00FE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72BC"/>
  <w15:docId w15:val="{EB4B8C83-F185-4D59-B544-D41916A6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eGEFtpfRQ5d9qaILCAHWwMsxw==">CgMxLjAyDmguNGl4MjZqYmxxN3hwOAByITF1VUNWNzBFQzF0bEdyRmh2ZnVtV2xyeW5DdUpBSC1JQw==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TEKELİ</dc:creator>
  <cp:lastModifiedBy>KTUN</cp:lastModifiedBy>
  <cp:revision>6</cp:revision>
  <dcterms:created xsi:type="dcterms:W3CDTF">2024-11-22T12:55:00Z</dcterms:created>
  <dcterms:modified xsi:type="dcterms:W3CDTF">2025-12-03T12:42:00Z</dcterms:modified>
</cp:coreProperties>
</file>